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3F" w:rsidRPr="000B09EC" w:rsidRDefault="006F793F" w:rsidP="00D07C0A">
      <w:pPr>
        <w:widowControl/>
        <w:shd w:val="clear" w:color="auto" w:fill="FFFFFF"/>
        <w:spacing w:line="480" w:lineRule="atLeast"/>
        <w:jc w:val="center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B09E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《安徽财经大学201</w:t>
      </w:r>
      <w:r w:rsidR="00517D93" w:rsidRPr="000B09EC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7</w:t>
      </w:r>
      <w:r w:rsidR="00DA0E13" w:rsidRPr="000B09E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-201</w:t>
      </w:r>
      <w:r w:rsidR="00517D93" w:rsidRPr="000B09EC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8</w:t>
      </w:r>
      <w:r w:rsidR="00DA0E13" w:rsidRPr="000B09E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学</w:t>
      </w:r>
      <w:r w:rsidRPr="000B09E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年本科教学质量报告》</w:t>
      </w:r>
      <w:r w:rsidR="006048DE" w:rsidRPr="000B09E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支撑</w:t>
      </w:r>
      <w:r w:rsidRPr="000B09E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材料目录</w:t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7513"/>
        <w:gridCol w:w="1701"/>
      </w:tblGrid>
      <w:tr w:rsidR="00543F67" w:rsidRPr="000B09EC" w:rsidTr="00543F67">
        <w:tc>
          <w:tcPr>
            <w:tcW w:w="1384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  <w:rPr>
                <w:b/>
                <w:sz w:val="24"/>
                <w:szCs w:val="24"/>
              </w:rPr>
            </w:pPr>
            <w:r w:rsidRPr="000B09EC">
              <w:rPr>
                <w:rFonts w:hint="eastAsia"/>
                <w:b/>
                <w:sz w:val="24"/>
                <w:szCs w:val="24"/>
              </w:rPr>
              <w:t>材料类别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  <w:rPr>
                <w:b/>
                <w:sz w:val="24"/>
                <w:szCs w:val="24"/>
              </w:rPr>
            </w:pPr>
            <w:r w:rsidRPr="000B09EC">
              <w:rPr>
                <w:rFonts w:hint="eastAsia"/>
                <w:b/>
                <w:sz w:val="24"/>
                <w:szCs w:val="24"/>
              </w:rPr>
              <w:t>材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料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名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  <w:rPr>
                <w:b/>
                <w:sz w:val="24"/>
                <w:szCs w:val="24"/>
              </w:rPr>
            </w:pPr>
            <w:r w:rsidRPr="000B09EC">
              <w:rPr>
                <w:rFonts w:hint="eastAsia"/>
                <w:b/>
                <w:sz w:val="24"/>
                <w:szCs w:val="24"/>
              </w:rPr>
              <w:t>主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要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内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容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与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基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本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要</w:t>
            </w:r>
            <w:r w:rsidRPr="000B09E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09EC">
              <w:rPr>
                <w:rFonts w:hint="eastAsia"/>
                <w:b/>
                <w:sz w:val="24"/>
                <w:szCs w:val="24"/>
              </w:rPr>
              <w:t>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  <w:rPr>
                <w:b/>
                <w:sz w:val="24"/>
                <w:szCs w:val="24"/>
              </w:rPr>
            </w:pPr>
            <w:r w:rsidRPr="000B09EC">
              <w:rPr>
                <w:rFonts w:hint="eastAsia"/>
                <w:b/>
                <w:sz w:val="24"/>
                <w:szCs w:val="24"/>
              </w:rPr>
              <w:t>责任部门</w:t>
            </w:r>
          </w:p>
        </w:tc>
      </w:tr>
      <w:tr w:rsidR="00543F67" w:rsidRPr="000B09EC" w:rsidTr="00543F67">
        <w:tc>
          <w:tcPr>
            <w:tcW w:w="1384" w:type="dxa"/>
            <w:vMerge w:val="restart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本科教育基本情况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本科人才培养目标及服务面向定位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本科专业人才培养目标总体定位及服务面向、各学科专业的层次、面向定位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本科专业设置情况一览表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专业信息（代码、名称），所属学科，专业、学科建设情况信息（国家级、省级重点、特色等）；全校本科专业总数、当年本科招生专业总数以及当年新增专业、停招专业名单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全日制在校生情况一览表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全日制研究生情况表（分</w:t>
            </w:r>
            <w:r w:rsidRPr="000B09EC">
              <w:t>年级、专业</w:t>
            </w:r>
            <w:r w:rsidRPr="000B09EC">
              <w:rPr>
                <w:rFonts w:hint="eastAsia"/>
              </w:rPr>
              <w:t>）</w:t>
            </w:r>
          </w:p>
          <w:p w:rsidR="00543F67" w:rsidRPr="000B09EC" w:rsidRDefault="00543F67" w:rsidP="00A05B79">
            <w:r w:rsidRPr="000B09EC">
              <w:rPr>
                <w:rFonts w:hint="eastAsia"/>
              </w:rPr>
              <w:t>全日制本科生情况表（分</w:t>
            </w:r>
            <w:r w:rsidRPr="000B09EC">
              <w:t>年级、专业</w:t>
            </w:r>
            <w:r w:rsidRPr="000B09EC"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研究生处</w:t>
            </w:r>
          </w:p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本科生生源质量情况表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各专业分省招生信息统计信息：计划数，招生数，最低</w:t>
            </w:r>
            <w:r w:rsidRPr="000B09EC">
              <w:t>录取名次，最高录取名次、平均录取名次</w:t>
            </w:r>
            <w:r w:rsidRPr="000B09EC">
              <w:rPr>
                <w:rFonts w:hint="eastAsia"/>
              </w:rPr>
              <w:t>，最低分、最高分、平均分及其与本省同批投档线分差；学校志愿及专业志愿第一志愿填报率；</w:t>
            </w:r>
            <w:r w:rsidRPr="000B09EC">
              <w:t>参加</w:t>
            </w:r>
            <w:r w:rsidRPr="000B09EC">
              <w:rPr>
                <w:rFonts w:hint="eastAsia"/>
              </w:rPr>
              <w:t>国家</w:t>
            </w:r>
            <w:r w:rsidRPr="000B09EC">
              <w:t>专项</w:t>
            </w:r>
            <w:r w:rsidRPr="000B09EC">
              <w:rPr>
                <w:rFonts w:hint="eastAsia"/>
              </w:rPr>
              <w:t>招生</w:t>
            </w:r>
            <w:r w:rsidRPr="000B09EC">
              <w:t>计划，安徽省专项招生计划</w:t>
            </w:r>
            <w:r w:rsidRPr="000B09EC">
              <w:rPr>
                <w:rFonts w:hint="eastAsia"/>
              </w:rPr>
              <w:t>情况；省内</w:t>
            </w:r>
            <w:r w:rsidRPr="000B09EC">
              <w:t>省外生源比例</w:t>
            </w:r>
            <w:r w:rsidRPr="000B09EC">
              <w:rPr>
                <w:rFonts w:hint="eastAsia"/>
              </w:rPr>
              <w:t>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招生就业处</w:t>
            </w:r>
          </w:p>
        </w:tc>
      </w:tr>
      <w:tr w:rsidR="00543F67" w:rsidRPr="000B09EC" w:rsidTr="00543F67">
        <w:tc>
          <w:tcPr>
            <w:tcW w:w="1384" w:type="dxa"/>
            <w:vMerge w:val="restart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师资与教学条件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师资队伍建设情况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总量及生师比；年龄、学历、学位、职称、学缘等结构状态图表；高层次人才情况；教学团队等建设情况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人事处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本科生主讲教师情况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主讲本科课程的教师信息统计图表（职称、学历学位比例等）；</w:t>
            </w:r>
          </w:p>
          <w:p w:rsidR="00543F67" w:rsidRPr="000B09EC" w:rsidRDefault="00543F67" w:rsidP="00543F67">
            <w:r w:rsidRPr="000B09EC">
              <w:rPr>
                <w:rFonts w:hint="eastAsia"/>
              </w:rPr>
              <w:t>主讲本科课程的教授占教授总数的比例（不含讲座）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教授承担本科课程情况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教授讲授本科课程占课程总门次数的比例（一门课程的全部课时均由教授授课，计为</w:t>
            </w:r>
            <w:r w:rsidRPr="000B09EC">
              <w:rPr>
                <w:rFonts w:hint="eastAsia"/>
              </w:rPr>
              <w:t>1</w:t>
            </w:r>
            <w:r w:rsidRPr="000B09EC">
              <w:rPr>
                <w:rFonts w:hint="eastAsia"/>
              </w:rPr>
              <w:t>；由多名教师共同承担的，按教授实际承担学时比例计算）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rPr>
          <w:trHeight w:val="1065"/>
        </w:trPr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教学经费投入情况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本科专项教学经费（</w:t>
            </w:r>
            <w:r w:rsidRPr="000B09EC">
              <w:rPr>
                <w:rFonts w:hint="eastAsia"/>
                <w:b/>
              </w:rPr>
              <w:t>2</w:t>
            </w:r>
            <w:r w:rsidRPr="000B09EC">
              <w:rPr>
                <w:b/>
              </w:rPr>
              <w:t>017</w:t>
            </w:r>
            <w:r w:rsidRPr="000B09EC">
              <w:rPr>
                <w:rFonts w:hint="eastAsia"/>
                <w:b/>
              </w:rPr>
              <w:t>年度</w:t>
            </w:r>
            <w:r w:rsidRPr="000B09EC">
              <w:rPr>
                <w:rFonts w:hint="eastAsia"/>
              </w:rPr>
              <w:t>学校立项用于本科教学改革和建设的专项经费总额）总量、比例、增幅；生均本科实验经费（</w:t>
            </w:r>
            <w:r w:rsidRPr="000B09EC">
              <w:rPr>
                <w:rFonts w:hint="eastAsia"/>
                <w:b/>
              </w:rPr>
              <w:t>2</w:t>
            </w:r>
            <w:r w:rsidRPr="000B09EC">
              <w:rPr>
                <w:b/>
              </w:rPr>
              <w:t>017</w:t>
            </w:r>
            <w:r w:rsidRPr="000B09EC">
              <w:rPr>
                <w:rFonts w:hint="eastAsia"/>
                <w:b/>
              </w:rPr>
              <w:t>年度</w:t>
            </w:r>
            <w:r w:rsidRPr="000B09EC">
              <w:rPr>
                <w:rFonts w:hint="eastAsia"/>
              </w:rPr>
              <w:t>学校用于实验教学运行、维护经费生均值）；生均本科实习经费（</w:t>
            </w:r>
            <w:r w:rsidRPr="000B09EC">
              <w:rPr>
                <w:rFonts w:hint="eastAsia"/>
                <w:b/>
              </w:rPr>
              <w:t>2</w:t>
            </w:r>
            <w:r w:rsidRPr="000B09EC">
              <w:rPr>
                <w:b/>
              </w:rPr>
              <w:t>017</w:t>
            </w:r>
            <w:r w:rsidRPr="000B09EC">
              <w:rPr>
                <w:rFonts w:hint="eastAsia"/>
                <w:b/>
              </w:rPr>
              <w:t>年度</w:t>
            </w:r>
            <w:r w:rsidRPr="000B09EC">
              <w:rPr>
                <w:rFonts w:hint="eastAsia"/>
              </w:rPr>
              <w:t>用于本科培养方案内的实习环节支出经费生均值）；生均本科教学日常运行支出（此项详见注释）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财务处</w:t>
            </w:r>
          </w:p>
        </w:tc>
      </w:tr>
      <w:tr w:rsidR="00543F67" w:rsidRPr="000B09EC" w:rsidTr="00543F67">
        <w:trPr>
          <w:trHeight w:val="180"/>
        </w:trPr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奖助学金投入</w:t>
            </w:r>
            <w:r w:rsidRPr="000B09EC">
              <w:t>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奖学金</w:t>
            </w:r>
            <w:r w:rsidRPr="000B09EC">
              <w:t>发放人次及总额</w:t>
            </w:r>
            <w:r w:rsidRPr="000B09EC">
              <w:rPr>
                <w:rFonts w:hint="eastAsia"/>
              </w:rPr>
              <w:t>，其中省级</w:t>
            </w:r>
            <w:r w:rsidRPr="000B09EC">
              <w:t>以上奖学金人次及总额；</w:t>
            </w:r>
            <w:r w:rsidRPr="000B09EC">
              <w:rPr>
                <w:rFonts w:hint="eastAsia"/>
              </w:rPr>
              <w:t>助学金</w:t>
            </w:r>
            <w:r w:rsidRPr="000B09EC">
              <w:t>种类发放人次及发放总额；</w:t>
            </w:r>
            <w:r w:rsidRPr="000B09EC">
              <w:rPr>
                <w:rFonts w:hint="eastAsia"/>
              </w:rPr>
              <w:t>本科</w:t>
            </w:r>
            <w:r w:rsidRPr="000B09EC">
              <w:t>国家助学贷款</w:t>
            </w:r>
            <w:r w:rsidRPr="000B09EC">
              <w:rPr>
                <w:rFonts w:hint="eastAsia"/>
              </w:rPr>
              <w:t>发放</w:t>
            </w:r>
            <w:r w:rsidRPr="000B09EC">
              <w:t>人数及总额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学生处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教学用房情况表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校舍总量及新增情况；生均教学行政用房、生均实验室面积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资产处、基建处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图书资源情况表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各类图书总量、增量及使用情况，生均图书数；特色馆藏情况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图书与信息中心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实验室情况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实验室总量、增量；生均实验室面积；仪器设备、软件情况；队伍情况；实验室开放与利用情况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数字校园情况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多媒体教学、网络教学平台、网络基础设施建设等情况及其对教学的支持、保障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图书与信息中心、教务处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教学仪器设备情况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生均教学科研仪器设备值；当年新增教学科研仪器设备值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资产处</w:t>
            </w:r>
          </w:p>
        </w:tc>
      </w:tr>
      <w:tr w:rsidR="00543F67" w:rsidRPr="000B09EC" w:rsidTr="00543F67">
        <w:tc>
          <w:tcPr>
            <w:tcW w:w="1384" w:type="dxa"/>
            <w:vMerge w:val="restart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教学建设与改革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专业建设情况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专业建设与结构调整；特色专业与拔尖人才实验班建设；双专业双学位制度实施情况</w:t>
            </w:r>
            <w:r w:rsidRPr="000B09EC">
              <w:t>，</w:t>
            </w:r>
            <w:r w:rsidRPr="000B09EC">
              <w:rPr>
                <w:rFonts w:hint="eastAsia"/>
              </w:rPr>
              <w:t>2017-2018</w:t>
            </w:r>
            <w:r w:rsidRPr="000B09EC">
              <w:rPr>
                <w:rFonts w:hint="eastAsia"/>
              </w:rPr>
              <w:t>年度</w:t>
            </w:r>
            <w:r w:rsidRPr="000B09EC">
              <w:t>辅修专业数</w:t>
            </w:r>
            <w:r w:rsidRPr="000B09EC">
              <w:rPr>
                <w:rFonts w:hint="eastAsia"/>
              </w:rPr>
              <w:t>及</w:t>
            </w:r>
            <w:r w:rsidRPr="000B09EC">
              <w:t>辅修人数，辅修获得毕业证书及学位证书人数</w:t>
            </w:r>
            <w:r w:rsidRPr="000B09EC">
              <w:rPr>
                <w:rFonts w:hint="eastAsia"/>
              </w:rPr>
              <w:t>；</w:t>
            </w:r>
            <w:r w:rsidRPr="000B09EC">
              <w:rPr>
                <w:rFonts w:hint="eastAsia"/>
              </w:rPr>
              <w:t>2017</w:t>
            </w:r>
            <w:r w:rsidRPr="000B09EC">
              <w:t>-2018</w:t>
            </w:r>
            <w:r w:rsidRPr="000B09EC">
              <w:rPr>
                <w:rFonts w:hint="eastAsia"/>
              </w:rPr>
              <w:t>学年度</w:t>
            </w:r>
            <w:r w:rsidRPr="000B09EC">
              <w:t>学生转专业情况</w:t>
            </w:r>
            <w:r w:rsidRPr="000B09EC">
              <w:rPr>
                <w:rFonts w:hint="eastAsia"/>
              </w:rPr>
              <w:t>；中外合作办学与学生交流情况；</w:t>
            </w:r>
            <w:r w:rsidRPr="000B09EC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国际交流中心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课程建设情况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课程体系及平台结构；全校开设课程总门数（学年度内实际开设的本科培养计划内课程总数，跨学期讲授的同一门课程计一门）；全校选修课学分占总学分比例（可按学科门类）；课堂教学规模（分段统计）；基础课教学改革；教材建设与使用；双语教学（含原版教材使用等）情况；精品课程、资源共享与视频公开课程建设情况（历年来此类课程信息统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教学改革情况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教学方式与方法改革；课堂教学竞赛；考试改革情况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本科教学工程项目申报与建设情况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本科教学工程项目建设突出成就；新增各级本科教学工程项目一览表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实验实训教学情况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毕业论文（设计）写作与答辩及其管理情况；</w:t>
            </w:r>
          </w:p>
          <w:p w:rsidR="00543F67" w:rsidRPr="000B09EC" w:rsidRDefault="00543F67" w:rsidP="00543F67">
            <w:r w:rsidRPr="000B09EC">
              <w:rPr>
                <w:rFonts w:hint="eastAsia"/>
              </w:rPr>
              <w:t>实验教学体系设计与建设情况；实验课程开设情况；实践教学学分占总学分比例（可按学科统计）；校外实践基地建设与利用情况（分学院统计数量及容纳实习学生数等）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第二课堂情况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各种校园文化活动的组织与开展；学生社团活动；学术交流与研讨（学术报告等）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团委</w:t>
            </w:r>
          </w:p>
        </w:tc>
      </w:tr>
      <w:tr w:rsidR="00543F67" w:rsidRPr="000B09EC" w:rsidTr="00543F67">
        <w:trPr>
          <w:trHeight w:val="345"/>
        </w:trPr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创新创业教育情况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寒暑期社会实践情况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团委</w:t>
            </w:r>
          </w:p>
        </w:tc>
      </w:tr>
      <w:tr w:rsidR="00543F67" w:rsidRPr="000B09EC" w:rsidTr="00543F67">
        <w:trPr>
          <w:trHeight w:val="270"/>
        </w:trPr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43F67" w:rsidRPr="000B09EC" w:rsidRDefault="00543F67" w:rsidP="00543F67"/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项目设计与实施及其效果；学科竞赛参与及获奖情况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 w:val="restart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质量保障体系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人才培养中心地位落实情况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校领导班子专题研究本科教学工作情况；</w:t>
            </w:r>
          </w:p>
          <w:p w:rsidR="00543F67" w:rsidRPr="000B09EC" w:rsidRDefault="00543F67" w:rsidP="00543F67">
            <w:r w:rsidRPr="000B09EC">
              <w:rPr>
                <w:rFonts w:hint="eastAsia"/>
              </w:rPr>
              <w:t>教学工作会议等专题会议情况；有关规章制度的制定、修订与落实等情况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校办</w:t>
            </w:r>
          </w:p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本科人才培养方案修订与落实情况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培养方案的修订背景、原则与要求，新一轮培养方案的体系、框架与特点等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师资进修与培训情况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教师学历进修、境外访学与培训、主干课程培训等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人事处、教务处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教学质量保障体系建设情况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校领导、处级干部联系班级与听课情况；</w:t>
            </w:r>
          </w:p>
          <w:p w:rsidR="00543F67" w:rsidRPr="000B09EC" w:rsidRDefault="00543F67" w:rsidP="00543F67">
            <w:r w:rsidRPr="000B09EC">
              <w:rPr>
                <w:rFonts w:hint="eastAsia"/>
              </w:rPr>
              <w:t>课堂教学督导情况；专业认证与专业评估情况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组织部、教务处</w:t>
            </w:r>
          </w:p>
        </w:tc>
      </w:tr>
      <w:tr w:rsidR="00543F67" w:rsidRPr="000B09EC" w:rsidTr="00543F67">
        <w:tc>
          <w:tcPr>
            <w:tcW w:w="1384" w:type="dxa"/>
            <w:vMerge w:val="restart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学生学习效果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学生学习满意度调查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学生评教及教师教学考核情况（等次结构等统计）；</w:t>
            </w:r>
          </w:p>
          <w:p w:rsidR="00543F67" w:rsidRPr="000B09EC" w:rsidRDefault="00543F67" w:rsidP="00543F67">
            <w:r w:rsidRPr="000B09EC">
              <w:rPr>
                <w:rFonts w:hint="eastAsia"/>
              </w:rPr>
              <w:t>学生学习满意度调查的方法与结果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  <w:p w:rsidR="00543F67" w:rsidRPr="000B09EC" w:rsidRDefault="00543F67" w:rsidP="00543F67">
            <w:pPr>
              <w:jc w:val="center"/>
            </w:pPr>
            <w:r w:rsidRPr="000B09EC">
              <w:t>学生处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应届本科生毕业及学位授予情况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数量、比例（按学院、专业统计、汇总）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教务处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应届本科生攻读研究生情况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数量、比例（按学院、专业统计、汇总）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t>招生就业处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应届本科生就业情况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初次就业率；毕业生总体去向统计表；毕业生就业流向统计表（行业、地区）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t>招生就业处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体质测试达标率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/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体育教学部</w:t>
            </w:r>
          </w:p>
        </w:tc>
      </w:tr>
      <w:tr w:rsidR="00543F67" w:rsidRPr="000B09EC" w:rsidTr="00543F67"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社会用人单位对毕业生评价情况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用人单位对毕业生满意度调查方法及结果</w:t>
            </w:r>
          </w:p>
        </w:tc>
        <w:tc>
          <w:tcPr>
            <w:tcW w:w="1701" w:type="dxa"/>
            <w:shd w:val="clear" w:color="auto" w:fill="auto"/>
          </w:tcPr>
          <w:p w:rsidR="00543F67" w:rsidRPr="000B09EC" w:rsidRDefault="00543F67" w:rsidP="00543F67">
            <w:pPr>
              <w:jc w:val="center"/>
            </w:pPr>
            <w:r w:rsidRPr="000B09EC">
              <w:t>招生就业处</w:t>
            </w:r>
          </w:p>
        </w:tc>
      </w:tr>
      <w:tr w:rsidR="00543F67" w:rsidRPr="000B09EC" w:rsidTr="00543F67">
        <w:trPr>
          <w:trHeight w:val="240"/>
        </w:trPr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毕业生成就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毕业生典型事迹</w:t>
            </w:r>
          </w:p>
        </w:tc>
        <w:tc>
          <w:tcPr>
            <w:tcW w:w="1701" w:type="dxa"/>
            <w:shd w:val="clear" w:color="auto" w:fill="auto"/>
          </w:tcPr>
          <w:p w:rsidR="00543F67" w:rsidRPr="000B09EC" w:rsidRDefault="00543F67" w:rsidP="00543F67">
            <w:pPr>
              <w:jc w:val="center"/>
            </w:pPr>
            <w:r w:rsidRPr="000B09EC">
              <w:t>招生就业处</w:t>
            </w:r>
          </w:p>
        </w:tc>
      </w:tr>
      <w:tr w:rsidR="00543F67" w:rsidRPr="000B09EC" w:rsidTr="00543F67">
        <w:trPr>
          <w:trHeight w:val="75"/>
        </w:trPr>
        <w:tc>
          <w:tcPr>
            <w:tcW w:w="1384" w:type="dxa"/>
            <w:vMerge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媒体看安财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社会舆论媒体对安财的宣传报道情况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宣传部</w:t>
            </w:r>
          </w:p>
        </w:tc>
      </w:tr>
      <w:tr w:rsidR="00543F67" w:rsidRPr="000B09EC" w:rsidTr="00543F67">
        <w:tc>
          <w:tcPr>
            <w:tcW w:w="1384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特色发展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学校本科教育教学工作的优势与特色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关于本科教育教学工作中的特色和经验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t>教务处</w:t>
            </w:r>
          </w:p>
        </w:tc>
      </w:tr>
      <w:tr w:rsidR="00543F67" w:rsidRPr="000B09EC" w:rsidTr="00543F67">
        <w:tc>
          <w:tcPr>
            <w:tcW w:w="1384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rPr>
                <w:rFonts w:hint="eastAsia"/>
              </w:rPr>
              <w:t>需要解决的问题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学校本科教育教学工作存在的问题与不足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F67" w:rsidRPr="000B09EC" w:rsidRDefault="00543F67" w:rsidP="00543F67">
            <w:r w:rsidRPr="000B09EC">
              <w:rPr>
                <w:rFonts w:hint="eastAsia"/>
              </w:rPr>
              <w:t>重点针对影响教学质量的突出问题，分析原因、提出对策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F67" w:rsidRPr="000B09EC" w:rsidRDefault="00543F67" w:rsidP="00543F67">
            <w:pPr>
              <w:jc w:val="center"/>
            </w:pPr>
            <w:r w:rsidRPr="000B09EC">
              <w:t>教务处</w:t>
            </w:r>
          </w:p>
        </w:tc>
      </w:tr>
    </w:tbl>
    <w:p w:rsidR="00DF71DB" w:rsidRPr="00640184" w:rsidRDefault="002C4EBE">
      <w:r w:rsidRPr="000B09EC">
        <w:rPr>
          <w:rFonts w:hint="eastAsia"/>
        </w:rPr>
        <w:t>注：“生均本科教学日常运行支出”参照《教育部办公厅关于开展普通高等学校本科教学工作合格评估的通知》教高厅〔</w:t>
      </w:r>
      <w:r w:rsidRPr="000B09EC">
        <w:rPr>
          <w:rFonts w:hint="eastAsia"/>
        </w:rPr>
        <w:t>2011</w:t>
      </w:r>
      <w:r w:rsidRPr="000B09EC">
        <w:rPr>
          <w:rFonts w:hint="eastAsia"/>
        </w:rPr>
        <w:t>〕</w:t>
      </w:r>
      <w:r w:rsidRPr="000B09EC">
        <w:rPr>
          <w:rFonts w:hint="eastAsia"/>
        </w:rPr>
        <w:t>2</w:t>
      </w:r>
      <w:r w:rsidRPr="000B09EC">
        <w:rPr>
          <w:rFonts w:hint="eastAsia"/>
        </w:rPr>
        <w:t>号文件，是指学校开展普通本科教学活动及其辅助活动发生的支出，仅指教学基本支出中的商品和服务支出（</w:t>
      </w:r>
      <w:r w:rsidRPr="000B09EC">
        <w:rPr>
          <w:rFonts w:hint="eastAsia"/>
        </w:rPr>
        <w:t>302</w:t>
      </w:r>
      <w:r w:rsidRPr="000B09EC">
        <w:rPr>
          <w:rFonts w:hint="eastAsia"/>
        </w:rPr>
        <w:t>类）（不含教学专项拨款支出），具体包括：教学教辅部门发生的办公费（含考试考务费、手续费等）、印刷费、咨询费、邮电费、交通费、差旅费、出国费、维修（护）费、租赁费、会议费、培训费、专用材料费（含体育维持费等）、劳务费、其他教学商品和服务支出（含学生活动费、教学咨询研究机构会员费、教学改革科研业务费、委托业务费等）。取会计决算数。</w:t>
      </w:r>
      <w:bookmarkStart w:id="0" w:name="_GoBack"/>
      <w:bookmarkEnd w:id="0"/>
    </w:p>
    <w:sectPr w:rsidR="00DF71DB" w:rsidRPr="00640184" w:rsidSect="00156B07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30" w:rsidRDefault="00C63330" w:rsidP="002C4EBE">
      <w:r>
        <w:separator/>
      </w:r>
    </w:p>
  </w:endnote>
  <w:endnote w:type="continuationSeparator" w:id="0">
    <w:p w:rsidR="00C63330" w:rsidRDefault="00C63330" w:rsidP="002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30" w:rsidRDefault="00C63330" w:rsidP="002C4EBE">
      <w:r>
        <w:separator/>
      </w:r>
    </w:p>
  </w:footnote>
  <w:footnote w:type="continuationSeparator" w:id="0">
    <w:p w:rsidR="00C63330" w:rsidRDefault="00C63330" w:rsidP="002C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93F"/>
    <w:rsid w:val="000042F1"/>
    <w:rsid w:val="0000450D"/>
    <w:rsid w:val="00051B6E"/>
    <w:rsid w:val="00063556"/>
    <w:rsid w:val="000B09EC"/>
    <w:rsid w:val="000C1C3C"/>
    <w:rsid w:val="000F0EBB"/>
    <w:rsid w:val="00156B07"/>
    <w:rsid w:val="00156BE5"/>
    <w:rsid w:val="00185DF7"/>
    <w:rsid w:val="00204C66"/>
    <w:rsid w:val="002176D8"/>
    <w:rsid w:val="00220347"/>
    <w:rsid w:val="00283A76"/>
    <w:rsid w:val="002A17EC"/>
    <w:rsid w:val="002C4EBE"/>
    <w:rsid w:val="002D7B8C"/>
    <w:rsid w:val="002E56B4"/>
    <w:rsid w:val="00363B74"/>
    <w:rsid w:val="003702D4"/>
    <w:rsid w:val="00370378"/>
    <w:rsid w:val="00393A36"/>
    <w:rsid w:val="003946F9"/>
    <w:rsid w:val="003952B2"/>
    <w:rsid w:val="003976C6"/>
    <w:rsid w:val="003A687F"/>
    <w:rsid w:val="00461688"/>
    <w:rsid w:val="004655A2"/>
    <w:rsid w:val="004965DA"/>
    <w:rsid w:val="004F1632"/>
    <w:rsid w:val="00517D93"/>
    <w:rsid w:val="00543F67"/>
    <w:rsid w:val="00586206"/>
    <w:rsid w:val="00586F4A"/>
    <w:rsid w:val="005A63A8"/>
    <w:rsid w:val="005D7270"/>
    <w:rsid w:val="006048DE"/>
    <w:rsid w:val="006315FB"/>
    <w:rsid w:val="00640184"/>
    <w:rsid w:val="00651BAE"/>
    <w:rsid w:val="00667448"/>
    <w:rsid w:val="00674414"/>
    <w:rsid w:val="006C31F4"/>
    <w:rsid w:val="006F793F"/>
    <w:rsid w:val="0070575E"/>
    <w:rsid w:val="00715CDF"/>
    <w:rsid w:val="007248D0"/>
    <w:rsid w:val="00734DFA"/>
    <w:rsid w:val="007676C0"/>
    <w:rsid w:val="007A6042"/>
    <w:rsid w:val="007C008F"/>
    <w:rsid w:val="007C24F2"/>
    <w:rsid w:val="00814329"/>
    <w:rsid w:val="00837C8F"/>
    <w:rsid w:val="008B6E16"/>
    <w:rsid w:val="008E7056"/>
    <w:rsid w:val="009150C6"/>
    <w:rsid w:val="00921CA5"/>
    <w:rsid w:val="00925978"/>
    <w:rsid w:val="009501DD"/>
    <w:rsid w:val="00964EC4"/>
    <w:rsid w:val="009747AB"/>
    <w:rsid w:val="00993C68"/>
    <w:rsid w:val="009E19DD"/>
    <w:rsid w:val="00A05B79"/>
    <w:rsid w:val="00A109D4"/>
    <w:rsid w:val="00A11E25"/>
    <w:rsid w:val="00A33D05"/>
    <w:rsid w:val="00A404F4"/>
    <w:rsid w:val="00AA4A49"/>
    <w:rsid w:val="00B550A7"/>
    <w:rsid w:val="00B56208"/>
    <w:rsid w:val="00B60BA4"/>
    <w:rsid w:val="00B86C21"/>
    <w:rsid w:val="00BF11D5"/>
    <w:rsid w:val="00BF18AF"/>
    <w:rsid w:val="00C149B5"/>
    <w:rsid w:val="00C5598F"/>
    <w:rsid w:val="00C63330"/>
    <w:rsid w:val="00C75C43"/>
    <w:rsid w:val="00C8061D"/>
    <w:rsid w:val="00CB5442"/>
    <w:rsid w:val="00D07C0A"/>
    <w:rsid w:val="00D15991"/>
    <w:rsid w:val="00D15BD5"/>
    <w:rsid w:val="00D2506C"/>
    <w:rsid w:val="00D6255E"/>
    <w:rsid w:val="00D8224E"/>
    <w:rsid w:val="00DA0E13"/>
    <w:rsid w:val="00DD5F7E"/>
    <w:rsid w:val="00DF71DB"/>
    <w:rsid w:val="00E02D48"/>
    <w:rsid w:val="00E26D3D"/>
    <w:rsid w:val="00E52CD7"/>
    <w:rsid w:val="00E624FF"/>
    <w:rsid w:val="00E73C17"/>
    <w:rsid w:val="00E87D6C"/>
    <w:rsid w:val="00E91896"/>
    <w:rsid w:val="00EC27AC"/>
    <w:rsid w:val="00ED64AD"/>
    <w:rsid w:val="00EF5A93"/>
    <w:rsid w:val="00F01C54"/>
    <w:rsid w:val="00F43ACC"/>
    <w:rsid w:val="00F97FCD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CF4D6-44E7-47CC-905E-6E36B51A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2C4EB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4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C4EBE"/>
    <w:rPr>
      <w:kern w:val="2"/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D07C0A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D07C0A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5EE4-4415-484E-938E-0E7DB287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397</Words>
  <Characters>2268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fgc</cp:lastModifiedBy>
  <cp:revision>24</cp:revision>
  <dcterms:created xsi:type="dcterms:W3CDTF">2017-06-19T03:35:00Z</dcterms:created>
  <dcterms:modified xsi:type="dcterms:W3CDTF">2018-05-02T02:31:00Z</dcterms:modified>
</cp:coreProperties>
</file>